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62D13" w:rsidRDefault="00C8113C">
      <w:pPr>
        <w:ind w:left="390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</w:r>
      <w:r w:rsidR="00C8113C">
        <w:rPr>
          <w:noProof/>
        </w:rPr>
        <w:object w:dxaOrig="20586" w:dyaOrig="1548" w14:anchorId="0B182B84">
          <v:rect id="_x0000_i1025" alt="" style="width:1029.4pt;height:77.7pt;mso-width-percent:0;mso-height-percent:0;mso-width-percent:0;mso-height-percent:0" o:ole="" o:preferrelative="t" stroked="f">
            <v:imagedata r:id="rId5" o:title=""/>
          </v:rect>
          <o:OLEObject Type="Embed" ProgID="StaticMetafile" ShapeID="_x0000_i1025" DrawAspect="Content" ObjectID="_1672763671" r:id="rId6"/>
        </w:object>
      </w:r>
    </w:p>
    <w:p w14:paraId="0A37501D" w14:textId="77777777" w:rsidR="00F62D13" w:rsidRDefault="00F62D13">
      <w:pPr>
        <w:rPr>
          <w:rFonts w:ascii="Times New Roman" w:eastAsia="Times New Roman" w:hAnsi="Times New Roman" w:cs="Times New Roman"/>
          <w:sz w:val="20"/>
        </w:rPr>
      </w:pPr>
    </w:p>
    <w:p w14:paraId="7BFC1138" w14:textId="77777777" w:rsidR="00F62D13" w:rsidRDefault="001F0C92">
      <w:pPr>
        <w:spacing w:before="89"/>
        <w:ind w:left="2391" w:right="259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Správa o činnosti pedagogického klubu</w:t>
      </w:r>
    </w:p>
    <w:p w14:paraId="5DAB6C7B" w14:textId="77777777" w:rsidR="00F62D13" w:rsidRDefault="00F62D13">
      <w:pPr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5976"/>
      </w:tblGrid>
      <w:tr w:rsidR="00F62D13" w14:paraId="358A061F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85CF6F" w14:textId="77777777" w:rsidR="00F62D13" w:rsidRDefault="001F0C9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1. Prioritná os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E44456" w14:textId="77777777" w:rsidR="00F62D13" w:rsidRDefault="001F0C9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Vzdelávanie</w:t>
            </w:r>
          </w:p>
        </w:tc>
      </w:tr>
      <w:tr w:rsidR="00F62D13" w14:paraId="35468602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D5CE608" w14:textId="77777777" w:rsidR="00F62D13" w:rsidRDefault="001F0C92">
            <w:pPr>
              <w:spacing w:line="247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2. Špecifický cieľ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53714A" w14:textId="77777777" w:rsidR="00F62D13" w:rsidRDefault="001F0C92">
            <w:pPr>
              <w:spacing w:line="24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 rovnaký prístup ku kvalitnému vzdelávaniu a zlepšiť výsledky a kompetencie detí a žiakov</w:t>
            </w:r>
          </w:p>
        </w:tc>
      </w:tr>
      <w:tr w:rsidR="00F62D13" w14:paraId="204C8447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F24584" w14:textId="77777777" w:rsidR="00F62D13" w:rsidRDefault="001F0C92">
            <w:pPr>
              <w:spacing w:line="249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3. Prijímateľ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8E21FD" w14:textId="77777777" w:rsidR="00F62D13" w:rsidRDefault="001F0C92">
            <w:r>
              <w:rPr>
                <w:rFonts w:ascii="Times New Roman" w:eastAsia="Times New Roman" w:hAnsi="Times New Roman" w:cs="Times New Roman"/>
                <w:sz w:val="18"/>
              </w:rPr>
              <w:t xml:space="preserve"> Spojená škola – Gymnázium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Tilgnerova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Tilgnerova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14, Bratislava 841 05</w:t>
            </w:r>
          </w:p>
        </w:tc>
      </w:tr>
      <w:tr w:rsidR="00F62D13" w14:paraId="43642636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F436BF" w14:textId="77777777" w:rsidR="00F62D13" w:rsidRDefault="001F0C92">
            <w:pPr>
              <w:spacing w:line="247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4. Názov projektu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A149FD" w14:textId="77777777" w:rsidR="00F62D13" w:rsidRDefault="001F0C92">
            <w:r>
              <w:rPr>
                <w:rFonts w:ascii="Times New Roman" w:eastAsia="Times New Roman" w:hAnsi="Times New Roman" w:cs="Times New Roman"/>
                <w:sz w:val="18"/>
              </w:rPr>
              <w:t xml:space="preserve"> Zvýšenie kvality vzdelávania v Spojenej škole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Tilgnerova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14 v Bratislave </w:t>
            </w:r>
          </w:p>
        </w:tc>
      </w:tr>
      <w:tr w:rsidR="00F62D13" w14:paraId="24BDB7CA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AB9345" w14:textId="77777777" w:rsidR="00F62D13" w:rsidRDefault="001F0C92">
            <w:pPr>
              <w:spacing w:line="247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5. Kód projektu ITMS2014+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FDABFA" w14:textId="77777777" w:rsidR="00F62D13" w:rsidRDefault="001F0C92">
            <w:r>
              <w:rPr>
                <w:rFonts w:ascii="Times New Roman" w:eastAsia="Times New Roman" w:hAnsi="Times New Roman" w:cs="Times New Roman"/>
                <w:sz w:val="18"/>
              </w:rPr>
              <w:t xml:space="preserve"> 312011X621</w:t>
            </w:r>
          </w:p>
        </w:tc>
      </w:tr>
      <w:tr w:rsidR="00F62D13" w14:paraId="69BC2FC6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5DA313" w14:textId="77777777" w:rsidR="00F62D13" w:rsidRDefault="001F0C92">
            <w:pPr>
              <w:spacing w:line="247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6. Názov pedagogického klubu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070343" w14:textId="77777777" w:rsidR="00F62D13" w:rsidRDefault="001F0C92">
            <w:r>
              <w:rPr>
                <w:rFonts w:ascii="Times New Roman" w:eastAsia="Times New Roman" w:hAnsi="Times New Roman" w:cs="Times New Roman"/>
                <w:sz w:val="18"/>
              </w:rPr>
              <w:t xml:space="preserve"> Chemický klub</w:t>
            </w:r>
          </w:p>
        </w:tc>
      </w:tr>
      <w:tr w:rsidR="00F62D13" w14:paraId="5336B7AD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77E03C" w14:textId="77777777" w:rsidR="00F62D13" w:rsidRDefault="001F0C92">
            <w:pPr>
              <w:spacing w:line="247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7. Dátum stretnutia pedagogického klubu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2B0340D" w14:textId="55AEFCB8" w:rsidR="00F62D13" w:rsidRDefault="170A8F28">
            <w:r w:rsidRPr="170A8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D2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170A8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január 2020 o 14:00</w:t>
            </w:r>
          </w:p>
        </w:tc>
      </w:tr>
      <w:tr w:rsidR="00F62D13" w14:paraId="23A22A40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6A4DC7" w14:textId="77777777" w:rsidR="00F62D13" w:rsidRDefault="001F0C92">
            <w:pPr>
              <w:spacing w:line="247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8. Miesto stretnutia pedagogického klubu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09394B" w14:textId="77777777" w:rsidR="00F62D13" w:rsidRDefault="001F0C92">
            <w:r>
              <w:rPr>
                <w:rFonts w:ascii="Times New Roman" w:eastAsia="Times New Roman" w:hAnsi="Times New Roman" w:cs="Times New Roman"/>
                <w:sz w:val="18"/>
              </w:rPr>
              <w:t xml:space="preserve"> Gymnázium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Tilgnerova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Bratislava</w:t>
            </w:r>
          </w:p>
        </w:tc>
      </w:tr>
      <w:tr w:rsidR="00F62D13" w14:paraId="63F11282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282635" w14:textId="77777777" w:rsidR="00F62D13" w:rsidRDefault="001F0C92">
            <w:pPr>
              <w:spacing w:line="247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9. Meno koordinátora pedagogického klubu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2B0C3C" w14:textId="77777777" w:rsidR="00F62D13" w:rsidRDefault="001F0C92">
            <w:r>
              <w:rPr>
                <w:rFonts w:ascii="Times New Roman" w:eastAsia="Times New Roman" w:hAnsi="Times New Roman" w:cs="Times New Roman"/>
                <w:sz w:val="18"/>
              </w:rPr>
              <w:t xml:space="preserve"> RNDr. Iveta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Piršelová</w:t>
            </w:r>
            <w:proofErr w:type="spellEnd"/>
          </w:p>
        </w:tc>
      </w:tr>
      <w:tr w:rsidR="00F62D13" w14:paraId="5FF03E8D" w14:textId="77777777" w:rsidTr="170A8F28">
        <w:tc>
          <w:tcPr>
            <w:tcW w:w="35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AD4E3F" w14:textId="77777777" w:rsidR="00F62D13" w:rsidRDefault="001F0C92">
            <w:pPr>
              <w:spacing w:line="246" w:lineRule="auto"/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10. Odkaz na webové sídlo zverejnenej správy</w:t>
            </w:r>
          </w:p>
        </w:tc>
        <w:tc>
          <w:tcPr>
            <w:tcW w:w="62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2B9745" w14:textId="77777777" w:rsidR="00F62D13" w:rsidRDefault="001F0C92"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https://tilgnerka.edupage.org/</w:t>
              </w:r>
            </w:hyperlink>
          </w:p>
        </w:tc>
      </w:tr>
    </w:tbl>
    <w:p w14:paraId="0F7595AA" w14:textId="6F430455" w:rsidR="170A8F28" w:rsidRDefault="170A8F28" w:rsidP="170A8F28">
      <w:pPr>
        <w:spacing w:before="91"/>
        <w:ind w:left="216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7"/>
        <w:gridCol w:w="5252"/>
        <w:gridCol w:w="109"/>
      </w:tblGrid>
      <w:tr w:rsidR="00F62D13" w14:paraId="1BF39117" w14:textId="77777777" w:rsidTr="170A8F28">
        <w:trPr>
          <w:gridAfter w:val="1"/>
          <w:wAfter w:w="115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917417" w14:textId="6C1DE506" w:rsidR="4569E44B" w:rsidRPr="001F0C92" w:rsidRDefault="4569E44B" w:rsidP="170A8F2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1F0C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Problémy s polročnou klasifikáciou, návrhy na zlepšenie a zjednodušenia klasifikácie</w:t>
            </w:r>
          </w:p>
          <w:p w14:paraId="05DBFEB3" w14:textId="2D85EC33" w:rsidR="6FB86980" w:rsidRDefault="6FB86980" w:rsidP="170A8F28">
            <w:pPr>
              <w:jc w:val="both"/>
              <w:rPr>
                <w:rFonts w:ascii="Times New Roman" w:eastAsia="Times New Roman" w:hAnsi="Times New Roman" w:cs="Times New Roman"/>
                <w:color w:val="424242"/>
                <w:lang w:val="en-GB"/>
              </w:rPr>
            </w:pP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Hodnotenie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v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tomto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čase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je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naozaj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veľmi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náročné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.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Pri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online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vyučovaní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žiaci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môžu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mať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otvorený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zošit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alebo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knihu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možu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nájsť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odpovede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internete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často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im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pomáhajú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rodičia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a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starší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súrodenci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spolužiaci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im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proofErr w:type="gram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posielajú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 SMS</w:t>
            </w:r>
            <w:proofErr w:type="gram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správy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s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odpoveďou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a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podobne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.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Čo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môže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v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takýchto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situáciách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robiť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učiteľ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?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Existuje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niekoľko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možností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ktoré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mu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môžu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pri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skúšaní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pomôcť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.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Pravdepodobne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nefungujú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sto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percent,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lebo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fantázia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žiakov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je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nekonečná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ale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uvedené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stratégie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môžu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aspoň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trochu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sprísniť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hodnotenie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a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tak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môžeme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dopracovať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k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reálnejšiemu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pohľadu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vedomosti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našich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žiakov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.</w:t>
            </w:r>
          </w:p>
          <w:p w14:paraId="0C657C6B" w14:textId="33B32017" w:rsidR="170A8F28" w:rsidRDefault="170A8F28" w:rsidP="170A8F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</w:rPr>
            </w:pPr>
          </w:p>
          <w:p w14:paraId="29D6B04F" w14:textId="77777777" w:rsidR="00F62D13" w:rsidRDefault="001F0C92">
            <w:pPr>
              <w:spacing w:before="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62D13" w14:paraId="07C23A5A" w14:textId="77777777" w:rsidTr="170A8F28">
        <w:trPr>
          <w:gridAfter w:val="1"/>
          <w:wAfter w:w="115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52CDE0" w14:textId="77777777" w:rsidR="00F62D13" w:rsidRDefault="170A8F28" w:rsidP="170A8F28">
            <w:pPr>
              <w:spacing w:before="9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170A8F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Hlavné body, témy stretnutia, zhrnutie priebehu</w:t>
            </w:r>
            <w:r w:rsidRPr="170A8F28">
              <w:rPr>
                <w:rFonts w:ascii="Times New Roman" w:eastAsia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170A8F2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stretnutia:</w:t>
            </w:r>
          </w:p>
          <w:p w14:paraId="65D67F9E" w14:textId="4430B1AA" w:rsidR="00F62D13" w:rsidRDefault="434D1C51" w:rsidP="170A8F28">
            <w:pPr>
              <w:spacing w:before="91"/>
              <w:rPr>
                <w:rFonts w:ascii="Times New Roman" w:eastAsia="Times New Roman" w:hAnsi="Times New Roman" w:cs="Times New Roman"/>
              </w:rPr>
            </w:pPr>
            <w:r w:rsidRPr="170A8F28">
              <w:rPr>
                <w:rFonts w:ascii="Times New Roman" w:eastAsia="Times New Roman" w:hAnsi="Times New Roman" w:cs="Times New Roman"/>
              </w:rPr>
              <w:t>Všetci členovia klubu sme sa zhodli , že preverovať</w:t>
            </w:r>
            <w:r w:rsidR="5FCD472D" w:rsidRPr="170A8F28">
              <w:rPr>
                <w:rFonts w:ascii="Times New Roman" w:eastAsia="Times New Roman" w:hAnsi="Times New Roman" w:cs="Times New Roman"/>
              </w:rPr>
              <w:t xml:space="preserve"> vedomosti počas online vyučovania je naozaj náročné. Poradili sme si nasledovné možnosti, ktoré zamedzujú </w:t>
            </w:r>
            <w:r w:rsidR="2555C487" w:rsidRPr="170A8F28">
              <w:rPr>
                <w:rFonts w:ascii="Times New Roman" w:eastAsia="Times New Roman" w:hAnsi="Times New Roman" w:cs="Times New Roman"/>
              </w:rPr>
              <w:t>odpisovaniu žiakov:</w:t>
            </w:r>
          </w:p>
          <w:p w14:paraId="4B1A0021" w14:textId="4EA09F69" w:rsidR="00F62D13" w:rsidRDefault="3113844F" w:rsidP="170A8F28">
            <w:pPr>
              <w:jc w:val="both"/>
              <w:rPr>
                <w:rFonts w:ascii="Times New Roman" w:eastAsia="Times New Roman" w:hAnsi="Times New Roman" w:cs="Times New Roman"/>
                <w:color w:val="424242"/>
                <w:lang w:val="en-GB"/>
              </w:rPr>
            </w:pP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Otázky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s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otvoreným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koncom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alebo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rôzne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úvahy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sú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jednou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z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metód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hodnotenia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v online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priestore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.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Vyzývajú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študentov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aby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preskúmali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svoje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myšlienky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pocity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a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názory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a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zistili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tak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svoje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celkové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pochopenie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témy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.</w:t>
            </w:r>
          </w:p>
          <w:p w14:paraId="1B3DFABE" w14:textId="2A210490" w:rsidR="00F62D13" w:rsidRDefault="3113844F" w:rsidP="170A8F28">
            <w:pPr>
              <w:jc w:val="both"/>
              <w:rPr>
                <w:rFonts w:ascii="Times New Roman" w:eastAsia="Times New Roman" w:hAnsi="Times New Roman" w:cs="Times New Roman"/>
                <w:color w:val="424242"/>
                <w:lang w:val="en-GB"/>
              </w:rPr>
            </w:pP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Odpisovanie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je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umožnené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najmä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vtedy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keď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všetci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žiaci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majú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rovnaké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zadanie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písomnej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práce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alebo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testu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. Preto je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vhodné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aby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učiteľ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vymyslel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viac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otázok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.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Otázky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nemusia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byť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diametrálne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odlišné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niekedy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stačí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zmeniť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v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nich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len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určitý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podobný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jav.</w:t>
            </w:r>
            <w:proofErr w:type="spellEnd"/>
          </w:p>
          <w:p w14:paraId="057CC51F" w14:textId="16698034" w:rsidR="00F62D13" w:rsidRDefault="3113844F" w:rsidP="170A8F28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Krátka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písomná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práca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dá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napísať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aj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počas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online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hodiny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tak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že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hyperlink r:id="rId8">
              <w:proofErr w:type="spellStart"/>
              <w:r w:rsidRPr="170A8F28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u w:val="none"/>
                  <w:lang w:val="en-GB"/>
                </w:rPr>
                <w:t>žiaci</w:t>
              </w:r>
              <w:proofErr w:type="spellEnd"/>
              <w:r w:rsidRPr="170A8F28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u w:val="none"/>
                  <w:lang w:val="en-GB"/>
                </w:rPr>
                <w:t xml:space="preserve"> </w:t>
              </w:r>
              <w:proofErr w:type="spellStart"/>
              <w:r w:rsidRPr="170A8F28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u w:val="none"/>
                  <w:lang w:val="en-GB"/>
                </w:rPr>
                <w:t>majú</w:t>
              </w:r>
              <w:proofErr w:type="spellEnd"/>
              <w:r w:rsidRPr="170A8F28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u w:val="none"/>
                  <w:lang w:val="en-GB"/>
                </w:rPr>
                <w:t xml:space="preserve"> </w:t>
              </w:r>
              <w:proofErr w:type="spellStart"/>
              <w:r w:rsidRPr="170A8F28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u w:val="none"/>
                  <w:lang w:val="en-GB"/>
                </w:rPr>
                <w:t>zapnutú</w:t>
              </w:r>
              <w:proofErr w:type="spellEnd"/>
              <w:r w:rsidRPr="170A8F28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u w:val="none"/>
                  <w:lang w:val="en-GB"/>
                </w:rPr>
                <w:t xml:space="preserve"> </w:t>
              </w:r>
              <w:proofErr w:type="spellStart"/>
              <w:r w:rsidRPr="170A8F28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u w:val="none"/>
                  <w:lang w:val="en-GB"/>
                </w:rPr>
                <w:t>kameru</w:t>
              </w:r>
              <w:proofErr w:type="spellEnd"/>
            </w:hyperlink>
            <w:r w:rsidRPr="170A8F28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  <w:p w14:paraId="5BE855EA" w14:textId="14E746AA" w:rsidR="00F62D13" w:rsidRDefault="7DC49EF7" w:rsidP="170A8F28">
            <w:pPr>
              <w:jc w:val="both"/>
              <w:rPr>
                <w:rFonts w:ascii="Times New Roman" w:eastAsia="Times New Roman" w:hAnsi="Times New Roman" w:cs="Times New Roman"/>
                <w:color w:val="424242"/>
                <w:lang w:val="en-GB"/>
              </w:rPr>
            </w:pP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Rýchlu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spätnú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väzbu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učiteľ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získa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aj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tak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že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žiakom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položí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jednu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otázku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a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oni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ňu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písomne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odpovedajú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.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Potom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zo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zošita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čítajú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len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to,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čo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tam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napísali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.</w:t>
            </w:r>
          </w:p>
          <w:p w14:paraId="15BBA8FF" w14:textId="5E19ADD6" w:rsidR="00F62D13" w:rsidRDefault="448E8428" w:rsidP="170A8F28">
            <w:pPr>
              <w:jc w:val="both"/>
              <w:rPr>
                <w:rFonts w:ascii="Times New Roman" w:eastAsia="Times New Roman" w:hAnsi="Times New Roman" w:cs="Times New Roman"/>
                <w:color w:val="424242"/>
                <w:lang w:val="en-GB"/>
              </w:rPr>
            </w:pP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Výsledné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hodnotenie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žiakov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konci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polroka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I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napriek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danej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situácii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budeme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uskutočňovať</w:t>
            </w:r>
            <w:proofErr w:type="spellEnd"/>
            <w:r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 xml:space="preserve"> </w:t>
            </w:r>
            <w:proofErr w:type="spellStart"/>
            <w:r w:rsidR="729B2DA8"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známkami</w:t>
            </w:r>
            <w:proofErr w:type="spellEnd"/>
            <w:r w:rsidR="729B2DA8" w:rsidRPr="170A8F28">
              <w:rPr>
                <w:rFonts w:ascii="Times New Roman" w:eastAsia="Times New Roman" w:hAnsi="Times New Roman" w:cs="Times New Roman"/>
                <w:color w:val="424242"/>
                <w:lang w:val="en-GB"/>
              </w:rPr>
              <w:t>.</w:t>
            </w:r>
          </w:p>
          <w:p w14:paraId="178B475F" w14:textId="5A702C18" w:rsidR="00F62D13" w:rsidRDefault="00F62D13" w:rsidP="170A8F28">
            <w:pPr>
              <w:jc w:val="both"/>
              <w:rPr>
                <w:rFonts w:ascii="Times New Roman" w:eastAsia="Times New Roman" w:hAnsi="Times New Roman" w:cs="Times New Roman"/>
                <w:color w:val="424242"/>
                <w:lang w:val="en-GB"/>
              </w:rPr>
            </w:pPr>
          </w:p>
          <w:p w14:paraId="41C8F396" w14:textId="0C27703B" w:rsidR="00F62D13" w:rsidRDefault="00F62D13" w:rsidP="170A8F2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2D13" w14:paraId="39736780" w14:textId="77777777" w:rsidTr="170A8F28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13EC40" w14:textId="77777777" w:rsidR="00F62D13" w:rsidRDefault="001F0C92">
            <w:pPr>
              <w:numPr>
                <w:ilvl w:val="0"/>
                <w:numId w:val="1"/>
              </w:numPr>
              <w:tabs>
                <w:tab w:val="left" w:pos="709"/>
              </w:tabs>
              <w:spacing w:line="247" w:lineRule="auto"/>
              <w:ind w:left="720" w:hanging="36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Vypracoval (meno,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priezvisko)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81E738" w14:textId="77777777" w:rsidR="00F62D13" w:rsidRDefault="001F0C92">
            <w:r>
              <w:rPr>
                <w:rFonts w:ascii="Times New Roman" w:eastAsia="Times New Roman" w:hAnsi="Times New Roman" w:cs="Times New Roman"/>
                <w:sz w:val="18"/>
              </w:rPr>
              <w:t xml:space="preserve"> RNDr. Iveta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Piršelová</w:t>
            </w:r>
            <w:proofErr w:type="spellEnd"/>
          </w:p>
        </w:tc>
      </w:tr>
      <w:tr w:rsidR="00F62D13" w14:paraId="54BD0A7E" w14:textId="77777777" w:rsidTr="170A8F28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9E7A39" w14:textId="77777777" w:rsidR="00F62D13" w:rsidRDefault="001F0C92">
            <w:pPr>
              <w:numPr>
                <w:ilvl w:val="0"/>
                <w:numId w:val="2"/>
              </w:numPr>
              <w:tabs>
                <w:tab w:val="left" w:pos="709"/>
              </w:tabs>
              <w:spacing w:line="247" w:lineRule="auto"/>
              <w:ind w:left="720" w:hanging="36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Dátum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895261" w14:textId="34811022" w:rsidR="00F62D13" w:rsidRDefault="00DD277B"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1F0C92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január</w:t>
            </w:r>
            <w:r w:rsidR="001F0C92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F62D13" w14:paraId="1960D3EA" w14:textId="77777777" w:rsidTr="170A8F28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C09F09" w14:textId="77777777" w:rsidR="00F62D13" w:rsidRDefault="001F0C92">
            <w:pPr>
              <w:numPr>
                <w:ilvl w:val="0"/>
                <w:numId w:val="3"/>
              </w:numPr>
              <w:tabs>
                <w:tab w:val="left" w:pos="709"/>
              </w:tabs>
              <w:spacing w:line="244" w:lineRule="auto"/>
              <w:ind w:left="720" w:hanging="36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Podpis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A3D3EC" w14:textId="77777777" w:rsidR="00F62D13" w:rsidRDefault="00F62D1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62D13" w14:paraId="0B7ED60C" w14:textId="77777777" w:rsidTr="170A8F28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80680A" w14:textId="77777777" w:rsidR="00F62D13" w:rsidRDefault="001F0C92">
            <w:pPr>
              <w:numPr>
                <w:ilvl w:val="0"/>
                <w:numId w:val="4"/>
              </w:numPr>
              <w:tabs>
                <w:tab w:val="left" w:pos="709"/>
              </w:tabs>
              <w:spacing w:line="244" w:lineRule="auto"/>
              <w:ind w:left="720" w:hanging="36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Schválil (meno,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priezvisko)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31FAC6" w14:textId="77777777" w:rsidR="00F62D13" w:rsidRDefault="001F0C92">
            <w:r>
              <w:rPr>
                <w:rFonts w:ascii="Times New Roman" w:eastAsia="Times New Roman" w:hAnsi="Times New Roman" w:cs="Times New Roman"/>
                <w:sz w:val="18"/>
              </w:rPr>
              <w:t xml:space="preserve"> Ing. Edita Čierna</w:t>
            </w:r>
          </w:p>
        </w:tc>
      </w:tr>
      <w:tr w:rsidR="00F62D13" w14:paraId="37B80BF4" w14:textId="77777777" w:rsidTr="170A8F28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9F36CBA" w14:textId="77777777" w:rsidR="00F62D13" w:rsidRDefault="001F0C92">
            <w:pPr>
              <w:numPr>
                <w:ilvl w:val="0"/>
                <w:numId w:val="5"/>
              </w:numPr>
              <w:tabs>
                <w:tab w:val="left" w:pos="709"/>
              </w:tabs>
              <w:spacing w:line="244" w:lineRule="auto"/>
              <w:ind w:left="720" w:hanging="36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Dátum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923171" w14:textId="5AAED69E" w:rsidR="00F62D13" w:rsidRDefault="00DD277B"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1F0C92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január</w:t>
            </w:r>
            <w:r w:rsidR="001F0C92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F62D13" w14:paraId="61AE73A6" w14:textId="77777777" w:rsidTr="170A8F28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FB1F22" w14:textId="77777777" w:rsidR="00F62D13" w:rsidRDefault="001F0C92">
            <w:pPr>
              <w:numPr>
                <w:ilvl w:val="0"/>
                <w:numId w:val="6"/>
              </w:numPr>
              <w:tabs>
                <w:tab w:val="left" w:pos="709"/>
              </w:tabs>
              <w:spacing w:line="244" w:lineRule="auto"/>
              <w:ind w:left="720" w:hanging="36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Podpis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D0B940D" w14:textId="77777777" w:rsidR="00F62D13" w:rsidRDefault="00F62D13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E27B00A" w14:textId="77777777" w:rsidR="00F62D13" w:rsidRDefault="00F62D13">
      <w:pPr>
        <w:spacing w:before="91"/>
        <w:ind w:left="216"/>
        <w:rPr>
          <w:rFonts w:ascii="Times New Roman" w:eastAsia="Times New Roman" w:hAnsi="Times New Roman" w:cs="Times New Roman"/>
          <w:b/>
          <w:sz w:val="6"/>
        </w:rPr>
      </w:pPr>
    </w:p>
    <w:p w14:paraId="60061E4C" w14:textId="77777777" w:rsidR="00F62D13" w:rsidRDefault="00F62D13">
      <w:pPr>
        <w:spacing w:before="91"/>
        <w:rPr>
          <w:rFonts w:ascii="Times New Roman" w:eastAsia="Times New Roman" w:hAnsi="Times New Roman" w:cs="Times New Roman"/>
          <w:b/>
          <w:sz w:val="22"/>
        </w:rPr>
      </w:pPr>
    </w:p>
    <w:p w14:paraId="44EAFD9C" w14:textId="77777777" w:rsidR="00F62D13" w:rsidRDefault="00F62D13">
      <w:pPr>
        <w:spacing w:before="91"/>
        <w:ind w:left="216"/>
        <w:rPr>
          <w:rFonts w:ascii="Times New Roman" w:eastAsia="Times New Roman" w:hAnsi="Times New Roman" w:cs="Times New Roman"/>
          <w:b/>
          <w:sz w:val="22"/>
        </w:rPr>
      </w:pPr>
    </w:p>
    <w:p w14:paraId="4B94D5A5" w14:textId="77777777" w:rsidR="00F62D13" w:rsidRDefault="00F62D13">
      <w:pPr>
        <w:spacing w:before="91"/>
        <w:ind w:left="216"/>
        <w:rPr>
          <w:rFonts w:ascii="Times New Roman" w:eastAsia="Times New Roman" w:hAnsi="Times New Roman" w:cs="Times New Roman"/>
          <w:b/>
          <w:sz w:val="22"/>
        </w:rPr>
      </w:pPr>
    </w:p>
    <w:p w14:paraId="50B66128" w14:textId="77777777" w:rsidR="00F62D13" w:rsidRDefault="001F0C92">
      <w:pPr>
        <w:spacing w:before="91"/>
        <w:ind w:left="216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Príloha:  </w:t>
      </w:r>
      <w:proofErr w:type="spellStart"/>
      <w:r>
        <w:rPr>
          <w:rFonts w:ascii="Times New Roman" w:eastAsia="Times New Roman" w:hAnsi="Times New Roman" w:cs="Times New Roman"/>
          <w:sz w:val="20"/>
        </w:rPr>
        <w:t>Printscreeny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online klubu</w:t>
      </w:r>
    </w:p>
    <w:sectPr w:rsidR="00F62D1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759E"/>
    <w:multiLevelType w:val="multilevel"/>
    <w:tmpl w:val="F2ECF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025DC"/>
    <w:multiLevelType w:val="multilevel"/>
    <w:tmpl w:val="26C6C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3571D"/>
    <w:multiLevelType w:val="multilevel"/>
    <w:tmpl w:val="8362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A81DC2"/>
    <w:multiLevelType w:val="multilevel"/>
    <w:tmpl w:val="AF029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48186A"/>
    <w:multiLevelType w:val="multilevel"/>
    <w:tmpl w:val="B9DCC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44282F"/>
    <w:multiLevelType w:val="multilevel"/>
    <w:tmpl w:val="90F47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7FA91C3"/>
    <w:rsid w:val="001F0C92"/>
    <w:rsid w:val="00C8113C"/>
    <w:rsid w:val="00DD277B"/>
    <w:rsid w:val="00F62D13"/>
    <w:rsid w:val="0A0EB5DE"/>
    <w:rsid w:val="0EE22701"/>
    <w:rsid w:val="0EFB4F5E"/>
    <w:rsid w:val="1421CB19"/>
    <w:rsid w:val="16452B78"/>
    <w:rsid w:val="170A8F28"/>
    <w:rsid w:val="2323AE80"/>
    <w:rsid w:val="2555C487"/>
    <w:rsid w:val="2BDEBB59"/>
    <w:rsid w:val="3113844F"/>
    <w:rsid w:val="34146CE0"/>
    <w:rsid w:val="40B60DBD"/>
    <w:rsid w:val="40B7156F"/>
    <w:rsid w:val="434D1C51"/>
    <w:rsid w:val="448E8428"/>
    <w:rsid w:val="4569E44B"/>
    <w:rsid w:val="458A8692"/>
    <w:rsid w:val="57FA91C3"/>
    <w:rsid w:val="5CF8C15D"/>
    <w:rsid w:val="5FCD472D"/>
    <w:rsid w:val="6FB86980"/>
    <w:rsid w:val="729B2DA8"/>
    <w:rsid w:val="7463AEB7"/>
    <w:rsid w:val="769549FD"/>
    <w:rsid w:val="779B4F79"/>
    <w:rsid w:val="7DC49EF7"/>
    <w:rsid w:val="7FD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3FBC9"/>
  <w15:docId w15:val="{6D32ABC7-5681-472D-970C-E910E56D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world.sk/cd/jaroslava-konickova/7943/ako-motivovat-ziakov-aby-si-na-online-hodinach-zapli-kame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lgnerk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RNDr. Iveta Piršelová</cp:lastModifiedBy>
  <cp:revision>4</cp:revision>
  <cp:lastPrinted>2021-01-21T18:14:00Z</cp:lastPrinted>
  <dcterms:created xsi:type="dcterms:W3CDTF">2021-01-21T18:14:00Z</dcterms:created>
  <dcterms:modified xsi:type="dcterms:W3CDTF">2021-01-21T18:48:00Z</dcterms:modified>
</cp:coreProperties>
</file>