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94" w:rsidRPr="00B21675" w:rsidRDefault="00305294" w:rsidP="00305294">
      <w:pPr>
        <w:tabs>
          <w:tab w:val="left" w:pos="1140"/>
          <w:tab w:val="center" w:pos="7001"/>
        </w:tabs>
        <w:ind w:left="708"/>
        <w:jc w:val="center"/>
        <w:rPr>
          <w:b/>
          <w:sz w:val="28"/>
          <w:szCs w:val="28"/>
        </w:rPr>
      </w:pPr>
      <w:r w:rsidRPr="00B21675">
        <w:rPr>
          <w:b/>
          <w:sz w:val="28"/>
          <w:szCs w:val="28"/>
        </w:rPr>
        <w:t xml:space="preserve">Program nauczania dla zawodu Technik </w:t>
      </w:r>
      <w:r>
        <w:rPr>
          <w:b/>
          <w:sz w:val="28"/>
          <w:szCs w:val="28"/>
        </w:rPr>
        <w:t xml:space="preserve">Rachunkowości 431103  </w:t>
      </w:r>
      <w:r w:rsidRPr="00B21675">
        <w:rPr>
          <w:b/>
          <w:sz w:val="28"/>
          <w:szCs w:val="28"/>
        </w:rPr>
        <w:t xml:space="preserve">w zakresie praktyki zawodowej. </w:t>
      </w:r>
    </w:p>
    <w:p w:rsidR="005A4FCD" w:rsidRDefault="005A4FCD" w:rsidP="00305294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305294" w:rsidRDefault="00305294" w:rsidP="00305294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  <w:r w:rsidRPr="00C5115B">
        <w:rPr>
          <w:rFonts w:cs="Calibri"/>
          <w:b/>
          <w:sz w:val="22"/>
          <w:szCs w:val="22"/>
        </w:rPr>
        <w:t>Praktyk</w:t>
      </w:r>
      <w:r w:rsidRPr="00C5115B">
        <w:rPr>
          <w:rFonts w:cs="Calibri"/>
          <w:b/>
          <w:sz w:val="22"/>
          <w:szCs w:val="22"/>
          <w:lang w:val="pl-PL"/>
        </w:rPr>
        <w:t>i</w:t>
      </w:r>
      <w:r w:rsidRPr="00C5115B">
        <w:rPr>
          <w:rFonts w:cs="Calibri"/>
          <w:b/>
          <w:sz w:val="22"/>
          <w:szCs w:val="22"/>
        </w:rPr>
        <w:t xml:space="preserve"> zawodow</w:t>
      </w:r>
      <w:r w:rsidRPr="00C5115B">
        <w:rPr>
          <w:rFonts w:cs="Calibri"/>
          <w:b/>
          <w:sz w:val="22"/>
          <w:szCs w:val="22"/>
          <w:lang w:val="pl-PL"/>
        </w:rPr>
        <w:t>e</w:t>
      </w:r>
      <w:r>
        <w:rPr>
          <w:rFonts w:cs="Calibri"/>
          <w:b/>
          <w:sz w:val="22"/>
          <w:szCs w:val="22"/>
          <w:lang w:val="pl-PL"/>
        </w:rPr>
        <w:t xml:space="preserve">  klasa II</w:t>
      </w:r>
      <w:r w:rsidR="00CF2E4B">
        <w:rPr>
          <w:rFonts w:cs="Calibri"/>
          <w:b/>
          <w:sz w:val="22"/>
          <w:szCs w:val="22"/>
          <w:lang w:val="pl-PL"/>
        </w:rPr>
        <w:t>I</w:t>
      </w:r>
      <w:r>
        <w:rPr>
          <w:rFonts w:cs="Calibri"/>
          <w:b/>
          <w:sz w:val="22"/>
          <w:szCs w:val="22"/>
          <w:lang w:val="pl-PL"/>
        </w:rPr>
        <w:t xml:space="preserve">  -140 godz. (4 tygodnie)</w:t>
      </w:r>
    </w:p>
    <w:p w:rsidR="00305294" w:rsidRPr="008C6117" w:rsidRDefault="00305294" w:rsidP="00305294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3778A1" w:rsidRDefault="00305294" w:rsidP="00305294">
      <w:pPr>
        <w:spacing w:after="0"/>
        <w:ind w:left="851"/>
      </w:pPr>
      <w:r>
        <w:rPr>
          <w:rFonts w:ascii="Arial" w:hAnsi="Arial" w:cs="Arial"/>
          <w:sz w:val="20"/>
          <w:szCs w:val="20"/>
        </w:rPr>
        <w:t xml:space="preserve">Praktyki zawodowe w klasie </w:t>
      </w:r>
      <w:r w:rsidR="00CF2E4B">
        <w:rPr>
          <w:rFonts w:ascii="Arial" w:hAnsi="Arial" w:cs="Arial"/>
          <w:sz w:val="20"/>
          <w:szCs w:val="20"/>
        </w:rPr>
        <w:t xml:space="preserve">trzeciej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powinny zawierać  zagadnienia z kwalifikacji </w:t>
      </w:r>
      <w:r>
        <w:rPr>
          <w:rFonts w:ascii="Arial" w:hAnsi="Arial" w:cs="Arial"/>
          <w:b/>
          <w:sz w:val="20"/>
          <w:szCs w:val="20"/>
        </w:rPr>
        <w:t>EKA.05. Prowadzenie spraw kadrowo-płacowych i gospodarki finansowej jednostek organizacyjnych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b/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b/>
          <w:szCs w:val="20"/>
        </w:rPr>
      </w:pPr>
      <w:r w:rsidRPr="00101A1E">
        <w:rPr>
          <w:b/>
          <w:szCs w:val="20"/>
        </w:rPr>
        <w:t xml:space="preserve">Cele ogólne 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szCs w:val="20"/>
        </w:rPr>
      </w:pPr>
      <w:r w:rsidRPr="00101A1E">
        <w:rPr>
          <w:szCs w:val="20"/>
        </w:rPr>
        <w:t>Kształtowanie umiejętności zawodowych w zakresie wykonywania zadań zawodowych w działach kadrowo-płacowych i finansowych jednostek organizacyjnych.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Kształtowanie umiejętności wykorzystywania w pracach kadrowo-płacowych, rozliczeniowych z ZUS i w księgowości technik komputerowych.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wykorzystania wiedzy teoretycznej do wykonywania całościowych praktycznych zadań zawodowych w kadrach, płacach i księgowości.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szCs w:val="20"/>
        </w:rPr>
      </w:pPr>
      <w:r w:rsidRPr="00101A1E">
        <w:rPr>
          <w:szCs w:val="20"/>
        </w:rPr>
        <w:t>Wdrażanie do wykorzystania kompetencji nabytych w szkole w praktyce gospodarczej.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sumiennego i odpowiedzialnego wykonywania prac zawodowych.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posługiwania się specjalistycznym językiem zawodowym.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jc w:val="left"/>
        <w:rPr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jc w:val="left"/>
        <w:rPr>
          <w:b/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jc w:val="left"/>
        <w:rPr>
          <w:b/>
          <w:szCs w:val="20"/>
        </w:rPr>
      </w:pPr>
      <w:r w:rsidRPr="00101A1E">
        <w:rPr>
          <w:b/>
          <w:szCs w:val="20"/>
        </w:rPr>
        <w:t>MATERIAŁ NAUCZANIA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850"/>
        <w:gridCol w:w="3544"/>
        <w:gridCol w:w="3544"/>
        <w:gridCol w:w="1134"/>
      </w:tblGrid>
      <w:tr w:rsidR="00305294" w:rsidRPr="00101A1E" w:rsidTr="006C159F">
        <w:tc>
          <w:tcPr>
            <w:tcW w:w="2268" w:type="dxa"/>
            <w:vMerge w:val="restart"/>
            <w:vAlign w:val="center"/>
          </w:tcPr>
          <w:p w:rsidR="00305294" w:rsidRPr="00101A1E" w:rsidRDefault="00305294" w:rsidP="006C15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2694" w:type="dxa"/>
            <w:vMerge w:val="restart"/>
            <w:vAlign w:val="center"/>
          </w:tcPr>
          <w:p w:rsidR="00305294" w:rsidRPr="00101A1E" w:rsidRDefault="00305294" w:rsidP="006C15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vAlign w:val="center"/>
          </w:tcPr>
          <w:p w:rsidR="00305294" w:rsidRPr="003324EE" w:rsidRDefault="00305294" w:rsidP="006C159F">
            <w:pPr>
              <w:jc w:val="center"/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7088" w:type="dxa"/>
            <w:gridSpan w:val="2"/>
            <w:vAlign w:val="center"/>
          </w:tcPr>
          <w:p w:rsidR="00305294" w:rsidRPr="003324EE" w:rsidRDefault="00305294" w:rsidP="006C159F">
            <w:pPr>
              <w:jc w:val="center"/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vMerge w:val="restart"/>
            <w:vAlign w:val="center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5294" w:rsidRPr="003324EE" w:rsidRDefault="00305294" w:rsidP="006C15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podstawowe</w:t>
            </w:r>
          </w:p>
          <w:p w:rsidR="00305294" w:rsidRPr="003324EE" w:rsidRDefault="00305294" w:rsidP="006C159F">
            <w:pPr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3544" w:type="dxa"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ponadpodstawowe</w:t>
            </w:r>
          </w:p>
          <w:p w:rsidR="00305294" w:rsidRPr="003324EE" w:rsidRDefault="00305294" w:rsidP="006C159F">
            <w:pPr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14034" w:type="dxa"/>
            <w:gridSpan w:val="6"/>
          </w:tcPr>
          <w:p w:rsidR="00305294" w:rsidRPr="00101A1E" w:rsidRDefault="00305294" w:rsidP="006C1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EKA.05. Prowadzenie spraw kadrowo-płacowych i gospodarki finansowej jednostek organizacyjnych</w:t>
            </w:r>
          </w:p>
        </w:tc>
      </w:tr>
      <w:tr w:rsidR="00305294" w:rsidRPr="00101A1E" w:rsidTr="006C159F">
        <w:tc>
          <w:tcPr>
            <w:tcW w:w="2268" w:type="dxa"/>
            <w:vMerge w:val="restart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6"/>
              </w:numPr>
              <w:ind w:left="284" w:hanging="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Praktyki zawodowe w dziale kadr i płac</w:t>
            </w: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działalnością przedsiębiorstwa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funkcję i przedmiot działania przedsiębiorstwa, w którym realizuje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strukturę organizacyjną przedsiębiorstwa, w którym realizuje praktyki zawodowe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 podstawowej działalności przedsiębiorstwa,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realizuje praktyki zawodowe na podstawie analizy dokumentów</w:t>
            </w:r>
          </w:p>
        </w:tc>
        <w:tc>
          <w:tcPr>
            <w:tcW w:w="1134" w:type="dxa"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Ochrona danych osobowych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przechowywanie dokumentacji w przedsiębiorstwie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obowiązki pracodawcy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zakresie ochrony danych osobowych pracownika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zidentyfikować terminy przechowywania dokumentacji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pracowniczej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określić sposób zabezpieczenia danych osobowych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przedsiębiorstwie,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którym odbywa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zakwalifikować dokumenty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pracownicze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którym realizuje praktyki zawodowe do kategorii archiwalnej</w:t>
            </w:r>
          </w:p>
        </w:tc>
        <w:tc>
          <w:tcPr>
            <w:tcW w:w="1134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Dokumentacja kadrowa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dokumenty pracownika zgromadzone w związku z ubieganiem się przez niego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zatrudnienie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ewidencje i rejestry związane zatrudnianiem pracowników prowadzone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sprawy związane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powierzeniem pracy na podstawie umów cywilnoprawnych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sprawy związane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świadczeniami socjalnymi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rozliczyć podróże służbowe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zakwalifikować dokumenty pracownicze do odpowiednich części akt osobowych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przygotować umowę o pracę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umowy cywilnoprawne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rodzaje rejestrów i ewidencji stosowana w przedsiębiorstwie,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odbywa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przygotować umowy cywilnoprawne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jak w przedsiębiorstwie rozwiązane są zagadnienia świadczeń socjalnych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wystawić polecenie wyjazdu służbowego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sprawdzić poprawność wypełnienia rachunku podróży służbowej</w:t>
            </w:r>
          </w:p>
        </w:tc>
        <w:tc>
          <w:tcPr>
            <w:tcW w:w="1134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wynagrodzeń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ich rozliczanie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systemy wynagradzania pracowników stosowane przez przedsiębiorstwo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składniki składające się na wynagrodzenia brutto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obligatoryjne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fakultatywne potrącenia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wynagrodzeń występujące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wynagrodzenie zasadnicze według systemów wynagrodzeń stosowanych w przedsiębiorstwie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dodatki do wynagrodzenia zasadniczego występujące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wynagrodzenie za czas nieprzepracowany, np. za czas niezdolności do pracy z powodu choroby, urlopu płatnego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obligatoryjne obciążenia przychodów ze stosunku pracy,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składki na ubezpieczenia społeczne, składkę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ubezpieczenie zdrowotne, zaliczkę na podatek dochodowy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od osób fizycznych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2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wystawić rachunki do umów cywilnoprawnych</w:t>
            </w:r>
          </w:p>
        </w:tc>
        <w:tc>
          <w:tcPr>
            <w:tcW w:w="1134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kadrowo-płacowy stosowany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w przedsiębiorstwie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określić wymagania i możliwości systemu komputerowego </w:t>
            </w: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usprawniającego pracę kadrowo-płacową w przedsiębiorstwie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sporządzić dokumenty kadrowe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w programie kadrowo-płacowym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stosowanym w przedsiębiorstwie,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kwestionariusz osobowy, umowę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pracę, umowy cywilnoprawne, świadectwo pracy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rozliczyć wynagrodzenia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 tytułu umów o pracę i umów cywilnoprawnych z wykorzystaniem programu kadrowo-płacowego stosowanego w przedsiębiorstwie,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sporządzić listę płac, sporządzić rachunki do umów cywilnoprawnych, sporządzić imienne karty przychodów dla pracownika</w:t>
            </w:r>
          </w:p>
        </w:tc>
        <w:tc>
          <w:tcPr>
            <w:tcW w:w="1134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ubezpieczeń społecznych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zdrowotnych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składki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na ubezpieczenia społeczne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ubezpieczenie zdrowotne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podlegania ubezpieczeniom społecznym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zdrowotnym z tytułu umów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o pracę i umów cywilnoprawnych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oraz prowadzenia działalności gospodarczej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zasady wpłaty składek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do ZUS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zestaw dokumentów zgłoszeniowych płatnika składek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do rozliczeń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Zakładem Ubezpieczeń Społecznych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zestaw dokumentów rozliczeniowych płatnika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programie do rozliczeń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 Zakładem Ubezpieczeń Społecznych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dokument płatniczy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do Zakładu Ubezpieczeń Społecznych</w:t>
            </w:r>
          </w:p>
        </w:tc>
        <w:tc>
          <w:tcPr>
            <w:tcW w:w="1134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 w:val="restart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6"/>
              </w:numPr>
              <w:ind w:left="284" w:hanging="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Praktyki zawodowe w biurze rachunkowym</w:t>
            </w: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ze specyfiką działalności biura, w którym realizowana jest praktyka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przedsiębiorstwa,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ze względu na charakter działalności, wielkość zatrudnienia, formę własności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funkcje i przedmiot działania przedsiębiorstw produkcyjnych, handlowych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usługowych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usługi sklasyfikowane według różnych kryteriów,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ze względu na przeznaczenie, rodzaj nabywców, rodzaj i charakter wykonywanej pracy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przedmiot działalności biura rachunkowego, w którym realizuje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rodzaje podmiotów obsługiwanych przez biuro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istotę organizacji procesu produkcji i sprzedaży w podmiotach produkcyjnych obsługiwanych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przez biuro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podmioty i formy sprzedaży występujące w obrocie towarowym w jednostkach obsługiwanych przez biuro</w:t>
            </w:r>
          </w:p>
          <w:p w:rsidR="00305294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 usług wykonywanych przez podmioty obsługiwane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sz w:val="20"/>
                <w:szCs w:val="20"/>
              </w:rPr>
              <w:t>w biurze</w:t>
            </w:r>
          </w:p>
          <w:p w:rsidR="005A4FCD" w:rsidRDefault="005A4FCD" w:rsidP="005A4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4FCD" w:rsidRPr="005A4FCD" w:rsidRDefault="005A4FCD" w:rsidP="005A4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FCD" w:rsidRPr="00101A1E" w:rsidRDefault="005A4FCD" w:rsidP="005A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5A4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Podatki i formy opodatkowania klientów biura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kategorie ekonomiczne z zakresu finansów, np. podatek, opłata publiczna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podatki w polskim systemie podatkowym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według różnych kryteriów,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bezpośrednie i pośrednie, przychodowe, dochodowe, majątkowe i konsumpcyjne, podatki państwowe, samorządowe i wspólne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elementy konstrukcji podatków,</w:t>
            </w:r>
            <w:r w:rsidRPr="00101A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podmiot, przedmiot, podstawa opodatkowania, stawki podatku, terminy, zwolnienia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i ulgi w podatkach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bankowe dokumenty obrotu pieniężnego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dokonać analizy danych podmiotów obsługiwanych przez biuro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pod kątem form opodatkowania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formy opodatkowania klientów biura na podstawie prowadzonych ewidencji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dostosować rodzaj ustawy podatkowej do zgłoszonej formy opodatkowania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status klienta biura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zakresie podatku od towarów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usług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przedmiot opodatkowania wybranych podmiotów obsługiwanych przez biuro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zaliczki z tytułu podatku dochodowego od osób fizycznych prowadzących działalność gospodarczą opodatkowanych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różnych formach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dokumenty rozliczeniowe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od towarów i usług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polecenia przelewów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dla celów podatkowych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odsetki od zaległości budżetowych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termin graniczny przechowywania dokumentów podatkowych</w:t>
            </w:r>
          </w:p>
        </w:tc>
        <w:tc>
          <w:tcPr>
            <w:tcW w:w="1134" w:type="dxa"/>
          </w:tcPr>
          <w:p w:rsidR="005A4FCD" w:rsidRPr="00101A1E" w:rsidRDefault="005A4FCD" w:rsidP="005A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5A4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3324E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finansowo-księgowy stosowany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biurze w zakresie ewidencji podatkowych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działanie aplikacji finansowo-księgowej stosowanej</w:t>
            </w: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biurze, w którym realizuje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system wysyłki e-deklaracji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JPK stosowany w biurze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księgę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rozchodów przy pomocy programu finansowo-księgowego stosowanego w biurze rachunkowym, w którym realizuje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ewidencję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finansowo-księgowym stosowanym w biurze rachunkowym,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realizuje praktyki zawodowe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rejestry podatku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od towarów i usług w programie finansowo-księgowym stosowanym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w biurze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ewidencję środków trwałych, ewidencję wyposażenia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ewidencję przebiegu pojazdu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dla klientów biura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w programie finansowo-księgowym dokumentację rozliczeniową i płatniczą do urzędu skarbowego</w:t>
            </w:r>
          </w:p>
        </w:tc>
        <w:tc>
          <w:tcPr>
            <w:tcW w:w="1134" w:type="dxa"/>
          </w:tcPr>
          <w:p w:rsidR="005A4FCD" w:rsidRPr="00101A1E" w:rsidRDefault="005A4FCD" w:rsidP="005A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5A4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3324E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Rozliczenia roczne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dochodowego od osób fizycznych</w:t>
            </w:r>
          </w:p>
        </w:tc>
        <w:tc>
          <w:tcPr>
            <w:tcW w:w="850" w:type="dxa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rodzaj formularzy potrzebnych do rozliczeń rocznych osób prowadzących pozarolniczą działalność gospodarczą niebędących osobami prawnymi</w:t>
            </w:r>
          </w:p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rodzaj formularzy potrzebnych do rozliczeń rocznych osób fizycznych nieprowadzących działalności gospodarczej</w:t>
            </w:r>
          </w:p>
        </w:tc>
        <w:tc>
          <w:tcPr>
            <w:tcW w:w="3544" w:type="dxa"/>
          </w:tcPr>
          <w:p w:rsidR="00305294" w:rsidRPr="00101A1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rozliczenia roczne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dochodowego jednostek organizacyjnych nieprowadzących ksiąg rachunkowych pod nadzorem opiekuna praktyk</w:t>
            </w:r>
          </w:p>
          <w:p w:rsidR="00305294" w:rsidRPr="003324EE" w:rsidRDefault="00305294" w:rsidP="0030529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roczne zeznanie podatkowe dla osób fizycznych nieprowadzących działalności gospodarczej pod nadzorem opiekuna praktyk</w:t>
            </w:r>
          </w:p>
        </w:tc>
        <w:tc>
          <w:tcPr>
            <w:tcW w:w="1134" w:type="dxa"/>
          </w:tcPr>
          <w:p w:rsidR="005A4FCD" w:rsidRPr="00101A1E" w:rsidRDefault="005A4FCD" w:rsidP="005A4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2473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05294" w:rsidRPr="00101A1E" w:rsidRDefault="00305294" w:rsidP="005A4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4" w:rsidRDefault="00305294"/>
    <w:p w:rsidR="00305294" w:rsidRPr="00101A1E" w:rsidRDefault="00305294" w:rsidP="003052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305294" w:rsidRPr="005B687B" w:rsidRDefault="00305294" w:rsidP="00305294">
      <w:pPr>
        <w:pStyle w:val="Programnauczania1"/>
        <w:spacing w:after="0" w:line="360" w:lineRule="auto"/>
        <w:ind w:left="0"/>
        <w:rPr>
          <w:rFonts w:cs="Arial"/>
          <w:szCs w:val="20"/>
        </w:rPr>
      </w:pPr>
      <w:r w:rsidRPr="00101A1E">
        <w:rPr>
          <w:rFonts w:cs="Arial"/>
          <w:szCs w:val="20"/>
        </w:rPr>
        <w:t>Czterotygodniowe praktyki zawodowe do kwalifikacji</w:t>
      </w:r>
      <w:r>
        <w:rPr>
          <w:rFonts w:cs="Arial"/>
          <w:szCs w:val="20"/>
        </w:rPr>
        <w:t xml:space="preserve"> EKA.05. Prowadzenie spraw kadrowo-płacowych i gospodarki finansowej jednostek organizacyjnych</w:t>
      </w:r>
      <w:r w:rsidRPr="00101A1E">
        <w:rPr>
          <w:rFonts w:cs="Arial"/>
          <w:szCs w:val="20"/>
        </w:rPr>
        <w:t xml:space="preserve"> uc</w:t>
      </w:r>
      <w:r w:rsidR="00DD6C73">
        <w:rPr>
          <w:rFonts w:cs="Arial"/>
          <w:szCs w:val="20"/>
        </w:rPr>
        <w:t xml:space="preserve">zniowie powinni odbywać </w:t>
      </w:r>
      <w:r w:rsidRPr="00101A1E">
        <w:rPr>
          <w:rFonts w:cs="Arial"/>
          <w:szCs w:val="20"/>
        </w:rPr>
        <w:t xml:space="preserve"> w działach kadr i płac</w:t>
      </w:r>
      <w:r w:rsidR="00DD6C73">
        <w:rPr>
          <w:rFonts w:cs="Arial"/>
          <w:szCs w:val="20"/>
        </w:rPr>
        <w:t>.</w:t>
      </w:r>
      <w:r w:rsidRPr="00101A1E">
        <w:rPr>
          <w:rFonts w:cs="Arial"/>
          <w:szCs w:val="20"/>
        </w:rPr>
        <w:t xml:space="preserve"> Druga część praktyk w tej kwalifikacji (dwa tygodnie) dotyczy głównie rozliczeń podatkowych podmiotów mikro i osób fizycznych stąd powinna być realizowana w biurach rachunkowych</w:t>
      </w:r>
      <w:r w:rsidR="005A4FCD">
        <w:rPr>
          <w:rFonts w:cs="Arial"/>
          <w:szCs w:val="20"/>
        </w:rPr>
        <w:t>.</w:t>
      </w:r>
      <w:r w:rsidRPr="00101A1E">
        <w:rPr>
          <w:rFonts w:cs="Arial"/>
          <w:szCs w:val="20"/>
        </w:rPr>
        <w:t xml:space="preserve"> W czasie praktyk uczeń powinien mieć możliwość skonfrontowania umiejętności nabytych w szkole z praktycznymi rozwiązaniami stosowanymi w praktyce gospodarczej.</w:t>
      </w:r>
      <w:r w:rsidR="005A4FCD">
        <w:rPr>
          <w:rFonts w:cs="Arial"/>
          <w:szCs w:val="20"/>
        </w:rPr>
        <w:t xml:space="preserve"> </w:t>
      </w:r>
      <w:r w:rsidRPr="00101A1E">
        <w:rPr>
          <w:rFonts w:cs="Arial"/>
          <w:szCs w:val="20"/>
        </w:rPr>
        <w:t>Praktyka powinna też kształtować kompetencje personalne i społeczne, uczyć pracy w zespole, rozwijać komunikację interpersonalną.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szCs w:val="20"/>
        </w:rPr>
      </w:pPr>
    </w:p>
    <w:p w:rsidR="00305294" w:rsidRPr="00101A1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Propozycje metod i form nauczania</w:t>
      </w:r>
    </w:p>
    <w:p w:rsidR="00305294" w:rsidRPr="003324E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 xml:space="preserve">Zalecaną metodą jest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case</w:t>
      </w:r>
      <w:proofErr w:type="spellEnd"/>
      <w:r w:rsidRPr="003324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101A1E">
        <w:rPr>
          <w:rFonts w:ascii="Arial" w:hAnsi="Arial" w:cs="Arial"/>
          <w:sz w:val="20"/>
          <w:szCs w:val="20"/>
        </w:rPr>
        <w:t xml:space="preserve"> (analizowanie rozwiązań praktycznych z obserwacji, wywiadu, dokumentacji i porównywanie ich z umiejętnościami nabytymi w szkole) oraz ćwiczenia praktyczne</w:t>
      </w:r>
      <w:r w:rsidRPr="003324EE">
        <w:rPr>
          <w:rFonts w:ascii="Arial" w:hAnsi="Arial" w:cs="Arial"/>
          <w:b/>
          <w:sz w:val="20"/>
          <w:szCs w:val="20"/>
        </w:rPr>
        <w:t xml:space="preserve">. </w:t>
      </w:r>
    </w:p>
    <w:p w:rsidR="00305294" w:rsidRPr="003324E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Zajęcia przebiegają w formie pozaszkolnej. Uczeń powinien pracować indywidualnie i w zespole z pracownikami jednostki organizacyjnej, w której odbywa praktyki zawodowe.</w:t>
      </w:r>
    </w:p>
    <w:p w:rsidR="00305294" w:rsidRPr="003324E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687B">
        <w:rPr>
          <w:rFonts w:ascii="Arial" w:hAnsi="Arial" w:cs="Arial"/>
          <w:sz w:val="20"/>
          <w:szCs w:val="20"/>
        </w:rPr>
        <w:lastRenderedPageBreak/>
        <w:t>Metody i formy pracy należy dobierać tak, by wspierać każdego ucznia. Przygotowując zestawy zadań praktycznych, ćwiczeń i innych materiałów</w:t>
      </w:r>
      <w:r w:rsidRPr="00A6104A">
        <w:rPr>
          <w:rFonts w:ascii="Arial" w:hAnsi="Arial" w:cs="Arial"/>
          <w:sz w:val="20"/>
          <w:szCs w:val="20"/>
        </w:rPr>
        <w:t>,</w:t>
      </w:r>
      <w:r w:rsidRPr="003324EE">
        <w:rPr>
          <w:rFonts w:ascii="Arial" w:hAnsi="Arial" w:cs="Arial"/>
          <w:sz w:val="20"/>
          <w:szCs w:val="20"/>
        </w:rPr>
        <w:t xml:space="preserve"> należy zadbać o dostosowanie ich do potrzeb i możliwości indywidualnych ucznia</w:t>
      </w:r>
      <w:r w:rsidRPr="003324EE">
        <w:rPr>
          <w:rFonts w:cs="Arial"/>
          <w:sz w:val="20"/>
          <w:szCs w:val="20"/>
        </w:rPr>
        <w:t>.</w:t>
      </w:r>
    </w:p>
    <w:p w:rsidR="00305294" w:rsidRPr="00101A1E" w:rsidRDefault="00305294" w:rsidP="0030529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05294" w:rsidRPr="00101A1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Zalecane środki i materiały dydaktyczne:</w:t>
      </w:r>
    </w:p>
    <w:p w:rsidR="00305294" w:rsidRPr="005B687B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5B687B">
        <w:rPr>
          <w:rFonts w:cs="Arial"/>
          <w:sz w:val="20"/>
          <w:szCs w:val="20"/>
        </w:rPr>
        <w:t>obowiązujące w jednostce organizacyjnej: schemat i opis struktury organizacyjnej, instrukcje, regulaminy, zarządzenia</w:t>
      </w:r>
      <w:r w:rsidRPr="00101A1E">
        <w:rPr>
          <w:rFonts w:cs="Arial"/>
          <w:sz w:val="20"/>
          <w:szCs w:val="20"/>
        </w:rPr>
        <w:t>,</w:t>
      </w:r>
    </w:p>
    <w:p w:rsidR="00305294" w:rsidRPr="003324EE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ustawy i rozporządzenia z zakresu tematyki pr</w:t>
      </w:r>
      <w:r w:rsidRPr="003324EE">
        <w:rPr>
          <w:rFonts w:cs="Arial"/>
          <w:sz w:val="20"/>
          <w:szCs w:val="20"/>
        </w:rPr>
        <w:t>aktyki zawodowej,</w:t>
      </w:r>
    </w:p>
    <w:p w:rsidR="00305294" w:rsidRPr="005B687B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zestawy dokumentów stosowanych w przedsiębiorstwie,</w:t>
      </w:r>
    </w:p>
    <w:p w:rsidR="00305294" w:rsidRPr="00A6104A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formularze podatkowe i statystyczne</w:t>
      </w:r>
      <w:r w:rsidRPr="005B687B">
        <w:rPr>
          <w:rFonts w:cs="Arial"/>
          <w:sz w:val="20"/>
          <w:szCs w:val="20"/>
        </w:rPr>
        <w:t>,</w:t>
      </w:r>
    </w:p>
    <w:p w:rsidR="00305294" w:rsidRPr="005B687B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komputer z oprogramowaniem stosowanym w przedsiębiorstwie,</w:t>
      </w:r>
    </w:p>
    <w:p w:rsidR="00305294" w:rsidRPr="003324EE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kalkulator.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rFonts w:cs="Arial"/>
          <w:b/>
          <w:szCs w:val="20"/>
        </w:rPr>
      </w:pPr>
      <w:r w:rsidRPr="00101A1E">
        <w:rPr>
          <w:rFonts w:cs="Arial"/>
          <w:b/>
          <w:szCs w:val="20"/>
        </w:rPr>
        <w:t>PROPONOWANE METODY SPRAWDZANIA OSIĄGNI</w:t>
      </w:r>
      <w:r w:rsidR="005A4FCD">
        <w:rPr>
          <w:rFonts w:cs="Arial"/>
          <w:b/>
          <w:szCs w:val="20"/>
        </w:rPr>
        <w:t>ĘĆ EDUKACYJNYCH UCZNIA</w:t>
      </w:r>
    </w:p>
    <w:p w:rsidR="00305294" w:rsidRPr="003324EE" w:rsidRDefault="00305294" w:rsidP="00305294">
      <w:pPr>
        <w:pStyle w:val="Tekstpodstawowy"/>
        <w:spacing w:line="360" w:lineRule="auto"/>
        <w:ind w:firstLine="0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Oceny efektów kształcenia dokonuje zakładowy opiekun praktyki zawodow</w:t>
      </w:r>
      <w:r w:rsidRPr="003324EE">
        <w:rPr>
          <w:rFonts w:cs="Arial"/>
          <w:sz w:val="20"/>
          <w:szCs w:val="20"/>
        </w:rPr>
        <w:t>ej w miejscu jej odbywania. Kryteria oceny powinny uwzględniać: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zaangażowanie ucznia w wykonywanie zadań zawodowych,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sumienność w wykonywaniu zadań,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punktualność,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etykę zawodową,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kulturę osobistą.</w:t>
      </w:r>
    </w:p>
    <w:p w:rsidR="00DD6C73" w:rsidRDefault="00305294" w:rsidP="00DD6C73">
      <w:pPr>
        <w:pStyle w:val="Programnauczania1"/>
        <w:spacing w:after="0" w:line="360" w:lineRule="auto"/>
        <w:ind w:left="0"/>
        <w:rPr>
          <w:rFonts w:cs="Arial"/>
          <w:szCs w:val="20"/>
        </w:rPr>
      </w:pPr>
      <w:r w:rsidRPr="003324EE">
        <w:rPr>
          <w:rFonts w:cs="Arial"/>
          <w:szCs w:val="20"/>
        </w:rPr>
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</w:r>
    </w:p>
    <w:p w:rsidR="00DD6C73" w:rsidRDefault="00DD6C73" w:rsidP="00DD6C73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DD6C73" w:rsidRPr="00DD6C73" w:rsidRDefault="00DD6C73" w:rsidP="00DD6C73">
      <w:pPr>
        <w:spacing w:line="360" w:lineRule="auto"/>
        <w:ind w:firstLine="709"/>
        <w:rPr>
          <w:rFonts w:ascii="Arial" w:hAnsi="Arial" w:cs="Arial"/>
          <w:b/>
          <w:sz w:val="20"/>
          <w:szCs w:val="20"/>
        </w:rPr>
      </w:pPr>
      <w:r w:rsidRPr="00DD6C73">
        <w:rPr>
          <w:rFonts w:ascii="Arial" w:hAnsi="Arial" w:cs="Arial"/>
          <w:b/>
          <w:sz w:val="20"/>
          <w:szCs w:val="20"/>
        </w:rPr>
        <w:t>Program praktyki zawodowej można traktować w sposób elastyczny. Ze względów organizacyjnych dopuszcza się pewne zmiany związane ze specyfiką zakładu. Praktyka powinna być tak zorganizowana, aby umożliwić  uczniom zastosowanie i pogłębienie zdobytej wiedzy i umiejętności zawodowych w rzeczywistych warunkach pracy.</w:t>
      </w:r>
    </w:p>
    <w:p w:rsidR="00DD6C73" w:rsidRPr="003324EE" w:rsidRDefault="00DD6C73" w:rsidP="00305294">
      <w:pPr>
        <w:pStyle w:val="Programnauczania1"/>
        <w:spacing w:after="0" w:line="360" w:lineRule="auto"/>
        <w:ind w:left="0"/>
        <w:rPr>
          <w:rFonts w:cs="Arial"/>
          <w:szCs w:val="20"/>
        </w:rPr>
      </w:pPr>
    </w:p>
    <w:p w:rsidR="00305294" w:rsidRDefault="00305294"/>
    <w:sectPr w:rsidR="00305294" w:rsidSect="005A4FCD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1" w:rsidRDefault="00653C21" w:rsidP="005A4FCD">
      <w:pPr>
        <w:spacing w:after="0" w:line="240" w:lineRule="auto"/>
      </w:pPr>
      <w:r>
        <w:separator/>
      </w:r>
    </w:p>
  </w:endnote>
  <w:endnote w:type="continuationSeparator" w:id="0">
    <w:p w:rsidR="00653C21" w:rsidRDefault="00653C21" w:rsidP="005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99177"/>
      <w:docPartObj>
        <w:docPartGallery w:val="Page Numbers (Bottom of Page)"/>
        <w:docPartUnique/>
      </w:docPartObj>
    </w:sdtPr>
    <w:sdtEndPr/>
    <w:sdtContent>
      <w:p w:rsidR="005A4FCD" w:rsidRDefault="005A4F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4B">
          <w:rPr>
            <w:noProof/>
          </w:rPr>
          <w:t>1</w:t>
        </w:r>
        <w:r>
          <w:fldChar w:fldCharType="end"/>
        </w:r>
      </w:p>
    </w:sdtContent>
  </w:sdt>
  <w:p w:rsidR="005A4FCD" w:rsidRDefault="005A4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1" w:rsidRDefault="00653C21" w:rsidP="005A4FCD">
      <w:pPr>
        <w:spacing w:after="0" w:line="240" w:lineRule="auto"/>
      </w:pPr>
      <w:r>
        <w:separator/>
      </w:r>
    </w:p>
  </w:footnote>
  <w:footnote w:type="continuationSeparator" w:id="0">
    <w:p w:rsidR="00653C21" w:rsidRDefault="00653C21" w:rsidP="005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403"/>
    <w:multiLevelType w:val="hybridMultilevel"/>
    <w:tmpl w:val="9FF021D8"/>
    <w:lvl w:ilvl="0" w:tplc="74FEAE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055"/>
    <w:multiLevelType w:val="hybridMultilevel"/>
    <w:tmpl w:val="B9E64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C27"/>
    <w:multiLevelType w:val="hybridMultilevel"/>
    <w:tmpl w:val="C74AE240"/>
    <w:lvl w:ilvl="0" w:tplc="E9DA0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20F9"/>
    <w:multiLevelType w:val="hybridMultilevel"/>
    <w:tmpl w:val="3DDA38C4"/>
    <w:lvl w:ilvl="0" w:tplc="933248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D26E48"/>
    <w:multiLevelType w:val="hybridMultilevel"/>
    <w:tmpl w:val="E518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5969"/>
    <w:multiLevelType w:val="hybridMultilevel"/>
    <w:tmpl w:val="C0FC3478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6AC"/>
    <w:multiLevelType w:val="hybridMultilevel"/>
    <w:tmpl w:val="91643A1A"/>
    <w:lvl w:ilvl="0" w:tplc="8BC0C1C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34"/>
    <w:multiLevelType w:val="hybridMultilevel"/>
    <w:tmpl w:val="827C768A"/>
    <w:lvl w:ilvl="0" w:tplc="9CA02C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567DF"/>
    <w:multiLevelType w:val="hybridMultilevel"/>
    <w:tmpl w:val="3956E4FE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5FE9"/>
    <w:multiLevelType w:val="hybridMultilevel"/>
    <w:tmpl w:val="4CD62B72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94"/>
    <w:rsid w:val="00235173"/>
    <w:rsid w:val="00247360"/>
    <w:rsid w:val="00305294"/>
    <w:rsid w:val="003778A1"/>
    <w:rsid w:val="005A4FCD"/>
    <w:rsid w:val="00653C21"/>
    <w:rsid w:val="00CD0F87"/>
    <w:rsid w:val="00CF2E4B"/>
    <w:rsid w:val="00D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305294"/>
    <w:pPr>
      <w:ind w:left="284"/>
      <w:jc w:val="both"/>
    </w:pPr>
    <w:rPr>
      <w:rFonts w:ascii="Arial" w:hAnsi="Arial"/>
      <w:sz w:val="20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05294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0529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052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0529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294"/>
    <w:rPr>
      <w:rFonts w:ascii="Arial" w:eastAsia="Calibri" w:hAnsi="Arial" w:cs="Times New Roman"/>
      <w:sz w:val="19"/>
      <w:szCs w:val="19"/>
      <w:lang w:eastAsia="pl-PL"/>
    </w:rPr>
  </w:style>
  <w:style w:type="paragraph" w:customStyle="1" w:styleId="Akapitzlist1">
    <w:name w:val="Akapit z listą1"/>
    <w:basedOn w:val="Normalny"/>
    <w:link w:val="ListParagraphChar"/>
    <w:rsid w:val="00305294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305294"/>
    <w:rPr>
      <w:rFonts w:ascii="Calibri" w:eastAsia="Times New Roman" w:hAnsi="Calibri" w:cs="Vrinda"/>
      <w:sz w:val="20"/>
      <w:szCs w:val="20"/>
      <w:lang w:val="x-none" w:bidi="as-IN"/>
    </w:rPr>
  </w:style>
  <w:style w:type="paragraph" w:styleId="Nagwek">
    <w:name w:val="header"/>
    <w:basedOn w:val="Normalny"/>
    <w:link w:val="Nagwek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C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305294"/>
    <w:pPr>
      <w:ind w:left="284"/>
      <w:jc w:val="both"/>
    </w:pPr>
    <w:rPr>
      <w:rFonts w:ascii="Arial" w:hAnsi="Arial"/>
      <w:sz w:val="20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05294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0529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052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0529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294"/>
    <w:rPr>
      <w:rFonts w:ascii="Arial" w:eastAsia="Calibri" w:hAnsi="Arial" w:cs="Times New Roman"/>
      <w:sz w:val="19"/>
      <w:szCs w:val="19"/>
      <w:lang w:eastAsia="pl-PL"/>
    </w:rPr>
  </w:style>
  <w:style w:type="paragraph" w:customStyle="1" w:styleId="Akapitzlist1">
    <w:name w:val="Akapit z listą1"/>
    <w:basedOn w:val="Normalny"/>
    <w:link w:val="ListParagraphChar"/>
    <w:rsid w:val="00305294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305294"/>
    <w:rPr>
      <w:rFonts w:ascii="Calibri" w:eastAsia="Times New Roman" w:hAnsi="Calibri" w:cs="Vrinda"/>
      <w:sz w:val="20"/>
      <w:szCs w:val="20"/>
      <w:lang w:val="x-none" w:bidi="as-IN"/>
    </w:rPr>
  </w:style>
  <w:style w:type="paragraph" w:styleId="Nagwek">
    <w:name w:val="header"/>
    <w:basedOn w:val="Normalny"/>
    <w:link w:val="Nagwek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C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3BC5-CFBA-4E75-A24E-B4A7DD7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4</cp:revision>
  <dcterms:created xsi:type="dcterms:W3CDTF">2021-02-09T12:38:00Z</dcterms:created>
  <dcterms:modified xsi:type="dcterms:W3CDTF">2021-09-29T11:39:00Z</dcterms:modified>
</cp:coreProperties>
</file>