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color w:val="000000"/>
          <w:sz w:val="24"/>
          <w:szCs w:val="24"/>
        </w:rPr>
        <w:t>Príloha č. 4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6"/>
          <w:szCs w:val="26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K Ú P N A  Z M L U V A č. G/...../2020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spacing w:after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uzavretá podľa ustanovení § 409 a nasledujúcich zákona č. 513/1991 Zb. Obchodný zákonník v znení neskorších predpisov (ďalej len „zmluva“)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left="180" w:firstLine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Kupujúci: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Gymnázium, Opatovská cesta 7, Košice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Opatovská cesta 7, 040 01  Košice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Krajina: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Slovensko        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Štatutárny orgán: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Mgr. Lenka </w:t>
      </w:r>
      <w:proofErr w:type="spellStart"/>
      <w:r>
        <w:rPr>
          <w:color w:val="000000"/>
          <w:sz w:val="24"/>
          <w:szCs w:val="24"/>
        </w:rPr>
        <w:t>Hézselyová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left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00162159        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202 118 9764</w:t>
      </w:r>
      <w:r>
        <w:rPr>
          <w:color w:val="000000"/>
          <w:sz w:val="18"/>
          <w:szCs w:val="18"/>
        </w:rPr>
        <w:tab/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Bankové spojenie: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Štátna pokladnica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Číslo účtu (IBAN):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SK78 8180 0000 0070 001</w:t>
      </w:r>
      <w:r>
        <w:rPr>
          <w:color w:val="000000"/>
          <w:sz w:val="24"/>
          <w:szCs w:val="24"/>
        </w:rPr>
        <w:t>9 1566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Telefón: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055/727 4412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riaditel@opatovska.sk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Web: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hyperlink r:id="rId7">
        <w:r>
          <w:rPr>
            <w:color w:val="0563C1"/>
            <w:sz w:val="24"/>
            <w:szCs w:val="24"/>
            <w:u w:val="single"/>
          </w:rPr>
          <w:t>www.gymopatke.edupage.org</w:t>
        </w:r>
      </w:hyperlink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ITMS kód Projektu: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312011U030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Miesto realizácie projektu: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Opatovská cesta 7, 040 01  Košice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</w:p>
    <w:p w:rsidR="001F0FFD" w:rsidRDefault="00CB16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19" w:hanging="3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Kód výzvy: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OPLZ-PO1/2018/DOP/1.1.1-03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Operačný program: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Ľudské zdroje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Projekt: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„Rozvoj zručností v čitateľskej, matematickej,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finančnej a prírodovednej gramotnosti“                                     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ind w:left="180" w:firstLine="360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left="180" w:firstLine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Predávajúci: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Sídlo: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Krajina:   </w:t>
      </w:r>
      <w:r>
        <w:rPr>
          <w:color w:val="000000"/>
          <w:sz w:val="24"/>
          <w:szCs w:val="24"/>
        </w:rPr>
        <w:tab/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Štatutárny orgán: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Bankové spojenie:</w:t>
      </w:r>
      <w:r>
        <w:rPr>
          <w:color w:val="000000"/>
          <w:sz w:val="24"/>
          <w:szCs w:val="24"/>
        </w:rPr>
        <w:tab/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Číslo účtu (IBAN):        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Telefón: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Email: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1.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Predmet plnenia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spacing w:after="120"/>
        <w:ind w:left="460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„IKT pomôcky“ k projektu ,,Rozvoj zručnosti v čitateľskej, matematickej, finančnej a prírodovednej gramotnosti.“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1.1 Predávajúci sa zaväzuje: 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1.1.1 Dodať kupujúcemu „ IKT pomôcky “ -  v zmysle cenovej ponuky, ktorá tvorí prílohu  č.1  Kúpnej zmluvy   a previesť naňho vlastnícke práva k nemu.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 Kupujúci sa zaväzuje dodaný tovar prijať a zaplatiť zaň kúpnu cenu uvedenú v čl. II tejto zmluvy.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2.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Kúpna cena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 Zmluvné strany dohodli cenu za predmet plnenia „ IKT pomôcky “ v súlade s výsledkom verejného obstarávania podľa §117 Zákona o verejnom obstarávaní č. 343/2015 Z. z. 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Cena  bez DPH .......................</w:t>
      </w:r>
      <w:r>
        <w:rPr>
          <w:color w:val="000000"/>
          <w:sz w:val="24"/>
          <w:szCs w:val="24"/>
        </w:rPr>
        <w:t>....................................... €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DPH ...... % .....................................................................€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Celková cena zákazky s DPH .........................................€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 xml:space="preserve"> Dohodnutá cena je konečná, sú v nej zahrnuté všetky náklady vrátane dovozu  do  sídla kupujúceho, cenu nie je možné meniť.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3.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Doba plnenia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3.1 Predávajúci sa zaväzuje dodať kupujúcemu predmet plnenia „  IKT pomôcky “ do           4 mesiacov od účinnosti zmluvy a doručenia objednávky (resp. objednávok).  Požadujeme len nový, nepoužitý a nerepasovaný tovar.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4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Miesto plnenia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4.1 Miestom</w:t>
      </w:r>
      <w:r>
        <w:rPr>
          <w:color w:val="000000"/>
          <w:sz w:val="24"/>
          <w:szCs w:val="24"/>
        </w:rPr>
        <w:t xml:space="preserve"> plnenia je sídlo kupujúceho na adrese: Opatovská cesta 7, 040 01  Košice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5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Nadobudnutie vlastníckeho práva na tovar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 Kupujúci nadobúda vlastnícke právo na tovar po jeho dodaní a odovzdaní predávajúcim,  v okamihu jeho úplného zaplatenia.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6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Nedostatky plnenia, reklamácia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Pri prevzatí tovaru  od predávajúceho  je kupujúci povinný ho prekontrolovať a tovar viditeľne poškodený vrátiť ihneď späť a vystaviť dodací list. V prípade nezdokumentovania rozsahu poškodenia tovaru kupujúcemu zaniká právo na reklamáciu a predávajúc</w:t>
      </w:r>
      <w:r>
        <w:rPr>
          <w:color w:val="000000"/>
          <w:sz w:val="24"/>
          <w:szCs w:val="24"/>
        </w:rPr>
        <w:t>i vystaví faktúru, ktorú musí kupujúci bezodkladne uhradiť.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Skryté kvantitatívne a kvalitatívne chyby predávaného tovaru  oznámi kupujúci predávajúcemu do 10 dní od ich zistenia, prípadne od ich vrátenia späť (reklamácie) treťou osobou. 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 Chybný</w:t>
      </w:r>
      <w:r>
        <w:rPr>
          <w:color w:val="000000"/>
          <w:sz w:val="24"/>
          <w:szCs w:val="24"/>
        </w:rPr>
        <w:t xml:space="preserve"> tovar s riadnym označením jeho poškodenia odovzdá kupujúci predávajúcemu a ten tovar vo svojom vlastníctve preberie späť. O jeho vrátení kupujúci vyhotoví dodací list podľa jednotlivých druhov a ich množstva. Ich prevzatie predávajúci na tomto liste potvr</w:t>
      </w:r>
      <w:r>
        <w:rPr>
          <w:color w:val="000000"/>
          <w:sz w:val="24"/>
          <w:szCs w:val="24"/>
        </w:rPr>
        <w:t>dí. Chybný tovar, ktorý prešiel do vlastníctva kupujúceho, predávajúci vymení, pokiaľ sa zmluvné strany nedohodnú inak.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ind w:right="72"/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7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Platobné podmienky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 Právo na fakturovanie vzniká predávajúcemu riadnym splnením zmluvy - dodaním   tovaru. Dodanie tovaru sa uskutoční na základe viacerých objednávok, podľa finančných možností kupujúceho.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7.2 Faktúra vystavená predávajúcim musí spĺňať všetky náležitosti </w:t>
      </w:r>
      <w:r>
        <w:rPr>
          <w:color w:val="000000"/>
          <w:sz w:val="24"/>
          <w:szCs w:val="24"/>
        </w:rPr>
        <w:t>daňového dokladu.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 Zmluvné strany sa dohodli na lehote splatnosti faktúry do 60 dní odo dňa doručenia.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 Kupujúci neposkytuje predávajúcemu zálohu na predmet plnenia.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7.5 Kupujúci je povinný zaplatiť predávajúcemu fakturovanú čiastku v lehote jej spla</w:t>
      </w:r>
      <w:r>
        <w:rPr>
          <w:color w:val="000000"/>
          <w:sz w:val="24"/>
          <w:szCs w:val="24"/>
        </w:rPr>
        <w:t xml:space="preserve">tnosti. 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8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Zmluvné pokuty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 V prípade, že predávajúci nedodrží lehotu plnenia dohodnutú v tejto zmluve, má kupujúci právo odstúpiť od zmluvy a požadovať od predávajúceho zaplatenie zmluvnej pokuty vo výške 1 % z dohodnutej ceny, ktorú mu je predáva</w:t>
      </w:r>
      <w:r>
        <w:rPr>
          <w:color w:val="000000"/>
          <w:sz w:val="24"/>
          <w:szCs w:val="24"/>
        </w:rPr>
        <w:t>júci povinný zaplatiť.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8.2 V prípade oneskorenia kupujúceho s platením faktúry má predávajúci právo požadovať od kupujúceho zmluvnú pokutu vo výške 0,05 % z nezaplatenej čiastky za každý deň omeškania</w:t>
      </w:r>
      <w:r>
        <w:rPr>
          <w:color w:val="FF0000"/>
          <w:sz w:val="24"/>
          <w:szCs w:val="24"/>
        </w:rPr>
        <w:t>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8.3 Uplatnením zmluvnej pokuty nie je dotknuté právo na náhradu škody ktoroukoľvek zmluvnou stranou.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9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Doklady potrebné na prevzatie a užívanie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 Za doklady potrebné na prevzatie tovaru  a splnenie zmluvy sa považujú dodací list podpísaný kupujúc</w:t>
      </w:r>
      <w:r>
        <w:rPr>
          <w:color w:val="000000"/>
          <w:sz w:val="24"/>
          <w:szCs w:val="24"/>
        </w:rPr>
        <w:t xml:space="preserve">im. 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10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Osobitné dojednania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spacing w:after="120"/>
        <w:ind w:right="2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 Dodávateľ je povinný strpieť výkon kontroly/auditu súvisiaceho s poskytnutím tovaru kedykoľvek počas plnenia predmetu zákazky a v nevyhnutnej dobe aj po ukončení zákazky a poskytnúť všetku potrebnú súčinnosť pri výkone kontroly/auditu.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spacing w:after="120"/>
        <w:ind w:left="17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Oprávnené osob</w:t>
      </w:r>
      <w:r>
        <w:rPr>
          <w:color w:val="000000"/>
          <w:sz w:val="24"/>
          <w:szCs w:val="24"/>
        </w:rPr>
        <w:t>y sú:</w:t>
      </w:r>
    </w:p>
    <w:p w:rsidR="001F0FFD" w:rsidRDefault="00CB16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spacing w:before="2"/>
        <w:jc w:val="both"/>
        <w:rPr>
          <w:color w:val="000000"/>
        </w:rPr>
      </w:pPr>
      <w:r>
        <w:rPr>
          <w:color w:val="000000"/>
          <w:sz w:val="24"/>
          <w:szCs w:val="24"/>
        </w:rPr>
        <w:t>Riadiaci a sprostredkovateľský orgán a ním poverené osoby,</w:t>
      </w:r>
    </w:p>
    <w:p w:rsidR="001F0FFD" w:rsidRDefault="00CB16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Útvar následnej finančnej kontroly a ním poverené osoby,</w:t>
      </w:r>
    </w:p>
    <w:p w:rsidR="001F0FFD" w:rsidRDefault="00CB16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spacing w:before="23"/>
        <w:ind w:right="112"/>
        <w:rPr>
          <w:color w:val="000000"/>
        </w:rPr>
      </w:pPr>
      <w:r>
        <w:rPr>
          <w:color w:val="000000"/>
          <w:sz w:val="24"/>
          <w:szCs w:val="24"/>
        </w:rPr>
        <w:t>Najvyšší kontrolný úrad SR, Správa finančnej kontroly, Certifikačný orgán a ním poverené osoby,</w:t>
      </w:r>
    </w:p>
    <w:p w:rsidR="001F0FFD" w:rsidRDefault="00CB16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Orgán auditu, jeho spolupracujúce orgány a ním poverené osoby,</w:t>
      </w:r>
    </w:p>
    <w:p w:rsidR="001F0FFD" w:rsidRDefault="00CB16D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jc w:val="both"/>
        <w:rPr>
          <w:color w:val="000000"/>
        </w:rPr>
      </w:pPr>
      <w:r>
        <w:rPr>
          <w:color w:val="000000"/>
          <w:sz w:val="24"/>
          <w:szCs w:val="24"/>
        </w:rPr>
        <w:t>Splnomocnení zástupcovia Európskej komisie a Európskeho dvora audítorov,</w:t>
      </w:r>
    </w:p>
    <w:p w:rsidR="001F0FFD" w:rsidRDefault="00CB16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12"/>
        <w:jc w:val="both"/>
        <w:rPr>
          <w:color w:val="000000"/>
        </w:rPr>
      </w:pPr>
      <w:r>
        <w:rPr>
          <w:color w:val="000000"/>
          <w:sz w:val="24"/>
          <w:szCs w:val="24"/>
        </w:rPr>
        <w:t>Osoby  prizvané  orgánmi  uvedenými  v tomto  bode  v súlade  s príslušnými  právnymi predpismi SR a EÚ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spacing w:after="120"/>
        <w:ind w:left="305" w:righ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Zmluva je účinná deň po zverejnení a po schválení sprostredkovateľského orgánu.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2. V prípade neschválenia procesu verejného obstarávania objednávateľ si vyhradzuje právo využiť   inštitút odkladacej podmienky   a následne zmluvu   anulovať.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Čl. 11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Záverečné ustanovenia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11.1 Všetky zmeny a dodatky k tejto zmluve musia mať písomnú formu a musia byť podpísané obidvoma zmluvnými stranami.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11.2 Zmluva nadobúda platnosť dňom jej podpisu zástupcami zmluvných strán s účinnosťou od prvého dňa nasledujúceho</w:t>
      </w:r>
      <w:r>
        <w:rPr>
          <w:color w:val="000000"/>
          <w:sz w:val="24"/>
          <w:szCs w:val="24"/>
        </w:rPr>
        <w:t xml:space="preserve"> po dni jej zverejnenia.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11.3 Zmluva je vyhotovená v 3 rovnopisoch, pričom dva rovnopisy </w:t>
      </w:r>
      <w:proofErr w:type="spellStart"/>
      <w:r>
        <w:rPr>
          <w:color w:val="000000"/>
          <w:sz w:val="24"/>
          <w:szCs w:val="24"/>
        </w:rPr>
        <w:t>obdrží</w:t>
      </w:r>
      <w:proofErr w:type="spellEnd"/>
      <w:r>
        <w:rPr>
          <w:color w:val="000000"/>
          <w:sz w:val="24"/>
          <w:szCs w:val="24"/>
        </w:rPr>
        <w:t xml:space="preserve"> kupujúci a jeden rovnopis predávajúci.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11.4 Vzťahy touto zmluvou neupravené sa riadia ustanoveniami Obchodného zákonníka. </w:t>
      </w: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11.5 Zmluvné strany prehlasujú, že s</w:t>
      </w:r>
      <w:r>
        <w:rPr>
          <w:color w:val="000000"/>
          <w:sz w:val="24"/>
          <w:szCs w:val="24"/>
        </w:rPr>
        <w:t>i zmluvu prečítali, porozumeli jej obsahu a na znak súhlasu ju podpísali.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Košiciach dňa ............................                    V ............................  dňa ............................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Kupujúci: ...........................................             Predávajúci: ..................................................... </w:t>
      </w: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1F0F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F0FFD" w:rsidRDefault="00CB16DF">
      <w:pPr>
        <w:pBdr>
          <w:top w:val="nil"/>
          <w:left w:val="nil"/>
          <w:bottom w:val="nil"/>
          <w:right w:val="nil"/>
          <w:between w:val="nil"/>
        </w:pBdr>
        <w:tabs>
          <w:tab w:val="left" w:pos="339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Príloha č.1: Návrh na plnenie kritérií – cenová ponuka</w:t>
      </w:r>
    </w:p>
    <w:sectPr w:rsidR="001F0FFD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DF" w:rsidRDefault="00CB16DF">
      <w:r>
        <w:separator/>
      </w:r>
    </w:p>
  </w:endnote>
  <w:endnote w:type="continuationSeparator" w:id="0">
    <w:p w:rsidR="00CB16DF" w:rsidRDefault="00CB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DF" w:rsidRDefault="00CB16DF">
      <w:r>
        <w:separator/>
      </w:r>
    </w:p>
  </w:footnote>
  <w:footnote w:type="continuationSeparator" w:id="0">
    <w:p w:rsidR="00CB16DF" w:rsidRDefault="00CB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FD" w:rsidRDefault="00CB16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cs-CZ"/>
      </w:rPr>
      <w:drawing>
        <wp:inline distT="0" distB="0" distL="114300" distR="114300">
          <wp:extent cx="6337300" cy="723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73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51A4"/>
    <w:multiLevelType w:val="multilevel"/>
    <w:tmpl w:val="76F6502C"/>
    <w:lvl w:ilvl="0">
      <w:start w:val="1"/>
      <w:numFmt w:val="bullet"/>
      <w:lvlText w:val="●"/>
      <w:lvlJc w:val="left"/>
      <w:pPr>
        <w:ind w:left="305" w:hanging="144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1195" w:hanging="144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085" w:hanging="144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2975" w:hanging="144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3865" w:hanging="144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4755" w:hanging="144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5645" w:hanging="144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6536" w:hanging="144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426" w:hanging="14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FD"/>
    <w:rsid w:val="001A6EE4"/>
    <w:rsid w:val="001F0FFD"/>
    <w:rsid w:val="00C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72EDF-71BD-4A6A-80C5-94E2C500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ymopatke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2020-10-12T18:50:00Z</dcterms:created>
  <dcterms:modified xsi:type="dcterms:W3CDTF">2020-10-12T18:50:00Z</dcterms:modified>
</cp:coreProperties>
</file>